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8A" w:rsidRPr="00531F8A" w:rsidRDefault="00531F8A" w:rsidP="00531F8A">
      <w:pPr>
        <w:jc w:val="right"/>
        <w:rPr>
          <w:sz w:val="20"/>
          <w:szCs w:val="20"/>
        </w:rPr>
      </w:pPr>
      <w:r w:rsidRPr="00531F8A">
        <w:rPr>
          <w:sz w:val="20"/>
          <w:szCs w:val="20"/>
        </w:rPr>
        <w:t>23.08.2019</w:t>
      </w:r>
    </w:p>
    <w:p w:rsidR="00531F8A" w:rsidRDefault="00531F8A" w:rsidP="00531F8A">
      <w:pPr>
        <w:jc w:val="center"/>
      </w:pPr>
    </w:p>
    <w:p w:rsidR="008177B6" w:rsidRPr="00531F8A" w:rsidRDefault="00531F8A" w:rsidP="00531F8A">
      <w:pPr>
        <w:jc w:val="center"/>
        <w:rPr>
          <w:b/>
          <w:bCs/>
        </w:rPr>
      </w:pPr>
      <w:r w:rsidRPr="00531F8A">
        <w:rPr>
          <w:b/>
          <w:bCs/>
        </w:rPr>
        <w:t xml:space="preserve">Protokoll der </w:t>
      </w:r>
      <w:proofErr w:type="spellStart"/>
      <w:r w:rsidRPr="00531F8A">
        <w:rPr>
          <w:b/>
          <w:bCs/>
        </w:rPr>
        <w:t>Fachschaftsratsitzung</w:t>
      </w:r>
      <w:proofErr w:type="spellEnd"/>
      <w:r w:rsidR="00A20F5B">
        <w:rPr>
          <w:b/>
          <w:bCs/>
        </w:rPr>
        <w:t xml:space="preserve"> der Japanologie</w:t>
      </w:r>
      <w:r w:rsidRPr="00531F8A">
        <w:rPr>
          <w:b/>
          <w:bCs/>
        </w:rPr>
        <w:t xml:space="preserve"> vom 23.08.2019</w:t>
      </w:r>
    </w:p>
    <w:p w:rsidR="00531F8A" w:rsidRDefault="00531F8A" w:rsidP="00531F8A">
      <w:pPr>
        <w:jc w:val="center"/>
      </w:pPr>
    </w:p>
    <w:p w:rsidR="00531F8A" w:rsidRDefault="00531F8A" w:rsidP="00531F8A">
      <w:pPr>
        <w:rPr>
          <w:sz w:val="20"/>
          <w:szCs w:val="20"/>
        </w:rPr>
      </w:pPr>
      <w:r w:rsidRPr="00674B32">
        <w:rPr>
          <w:b/>
          <w:bCs/>
          <w:sz w:val="20"/>
          <w:szCs w:val="20"/>
        </w:rPr>
        <w:t>Anwesenden:</w:t>
      </w:r>
      <w:r w:rsidRPr="00531F8A">
        <w:rPr>
          <w:sz w:val="20"/>
          <w:szCs w:val="20"/>
        </w:rPr>
        <w:t xml:space="preserve"> Kiyoshi </w:t>
      </w:r>
      <w:proofErr w:type="spellStart"/>
      <w:r w:rsidRPr="00531F8A">
        <w:rPr>
          <w:sz w:val="20"/>
          <w:szCs w:val="20"/>
        </w:rPr>
        <w:t>Kanuma</w:t>
      </w:r>
      <w:proofErr w:type="spellEnd"/>
      <w:r w:rsidRPr="00531F8A">
        <w:rPr>
          <w:sz w:val="20"/>
          <w:szCs w:val="20"/>
        </w:rPr>
        <w:t>, Dominik Gorka, Take Pham, Antonius Klug</w:t>
      </w:r>
    </w:p>
    <w:p w:rsidR="0055684D" w:rsidRPr="00531F8A" w:rsidRDefault="0055684D" w:rsidP="00531F8A">
      <w:pPr>
        <w:rPr>
          <w:sz w:val="20"/>
          <w:szCs w:val="20"/>
        </w:rPr>
      </w:pPr>
      <w:r w:rsidRPr="00674B32">
        <w:rPr>
          <w:b/>
          <w:bCs/>
          <w:sz w:val="20"/>
          <w:szCs w:val="20"/>
        </w:rPr>
        <w:t>Protokoll:</w:t>
      </w:r>
      <w:r>
        <w:rPr>
          <w:sz w:val="20"/>
          <w:szCs w:val="20"/>
        </w:rPr>
        <w:t xml:space="preserve"> Antonius &amp; Take</w:t>
      </w:r>
    </w:p>
    <w:p w:rsidR="00531F8A" w:rsidRPr="00531F8A" w:rsidRDefault="00531F8A" w:rsidP="00531F8A">
      <w:pPr>
        <w:rPr>
          <w:sz w:val="20"/>
          <w:szCs w:val="20"/>
        </w:rPr>
      </w:pPr>
      <w:proofErr w:type="spellStart"/>
      <w:r w:rsidRPr="00674B32">
        <w:rPr>
          <w:i/>
          <w:iCs/>
          <w:sz w:val="20"/>
          <w:szCs w:val="20"/>
        </w:rPr>
        <w:t>Begin</w:t>
      </w:r>
      <w:proofErr w:type="spellEnd"/>
      <w:r w:rsidRPr="00674B32">
        <w:rPr>
          <w:i/>
          <w:iCs/>
          <w:sz w:val="20"/>
          <w:szCs w:val="20"/>
        </w:rPr>
        <w:t>:</w:t>
      </w:r>
      <w:r w:rsidRPr="00531F8A">
        <w:rPr>
          <w:sz w:val="20"/>
          <w:szCs w:val="20"/>
        </w:rPr>
        <w:t xml:space="preserve"> 15:37</w:t>
      </w:r>
    </w:p>
    <w:p w:rsidR="00531F8A" w:rsidRDefault="00531F8A" w:rsidP="00531F8A">
      <w:pPr>
        <w:rPr>
          <w:sz w:val="20"/>
          <w:szCs w:val="20"/>
        </w:rPr>
      </w:pPr>
      <w:r w:rsidRPr="00674B32">
        <w:rPr>
          <w:i/>
          <w:iCs/>
          <w:sz w:val="20"/>
          <w:szCs w:val="20"/>
        </w:rPr>
        <w:t>Ende:</w:t>
      </w:r>
      <w:r w:rsidRPr="00531F8A">
        <w:rPr>
          <w:sz w:val="20"/>
          <w:szCs w:val="20"/>
        </w:rPr>
        <w:t xml:space="preserve"> 15:44</w:t>
      </w:r>
    </w:p>
    <w:p w:rsidR="00531F8A" w:rsidRDefault="00531F8A" w:rsidP="00531F8A">
      <w:pPr>
        <w:rPr>
          <w:sz w:val="20"/>
          <w:szCs w:val="20"/>
        </w:rPr>
      </w:pPr>
    </w:p>
    <w:p w:rsidR="00531F8A" w:rsidRPr="00674B32" w:rsidRDefault="00531F8A" w:rsidP="00531F8A">
      <w:pPr>
        <w:rPr>
          <w:b/>
          <w:bCs/>
          <w:sz w:val="20"/>
          <w:szCs w:val="20"/>
        </w:rPr>
      </w:pPr>
      <w:r w:rsidRPr="00674B32">
        <w:rPr>
          <w:b/>
          <w:bCs/>
          <w:sz w:val="20"/>
          <w:szCs w:val="20"/>
        </w:rPr>
        <w:t>Tagesordnungspunkte:</w:t>
      </w:r>
    </w:p>
    <w:p w:rsidR="00531F8A" w:rsidRDefault="00531F8A" w:rsidP="00531F8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Finanzantrag Spieleabend 23. August</w:t>
      </w:r>
    </w:p>
    <w:p w:rsidR="00531F8A" w:rsidRDefault="00531F8A" w:rsidP="00531F8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Finanzantrag Verpflegung </w:t>
      </w:r>
      <w:proofErr w:type="spellStart"/>
      <w:r>
        <w:rPr>
          <w:sz w:val="20"/>
          <w:szCs w:val="20"/>
        </w:rPr>
        <w:t>Ersti</w:t>
      </w:r>
      <w:proofErr w:type="spellEnd"/>
      <w:r>
        <w:rPr>
          <w:sz w:val="20"/>
          <w:szCs w:val="20"/>
        </w:rPr>
        <w:t>-Einführung WiSe2019</w:t>
      </w:r>
    </w:p>
    <w:p w:rsidR="00531F8A" w:rsidRDefault="00531F8A" w:rsidP="00531F8A">
      <w:pPr>
        <w:rPr>
          <w:sz w:val="20"/>
          <w:szCs w:val="20"/>
        </w:rPr>
      </w:pPr>
    </w:p>
    <w:p w:rsidR="00531F8A" w:rsidRDefault="00531F8A" w:rsidP="00531F8A">
      <w:pPr>
        <w:rPr>
          <w:sz w:val="20"/>
          <w:szCs w:val="20"/>
        </w:rPr>
      </w:pPr>
    </w:p>
    <w:p w:rsidR="00531F8A" w:rsidRPr="00333A44" w:rsidRDefault="00531F8A" w:rsidP="00333A4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333A44">
        <w:rPr>
          <w:b/>
          <w:bCs/>
          <w:sz w:val="20"/>
          <w:szCs w:val="20"/>
        </w:rPr>
        <w:t xml:space="preserve">Finanzantrag </w:t>
      </w:r>
      <w:r w:rsidRPr="00333A44">
        <w:rPr>
          <w:b/>
          <w:bCs/>
          <w:sz w:val="20"/>
          <w:szCs w:val="20"/>
        </w:rPr>
        <w:t xml:space="preserve">für die Verpflegung für den </w:t>
      </w:r>
      <w:r w:rsidRPr="00333A44">
        <w:rPr>
          <w:b/>
          <w:bCs/>
          <w:sz w:val="20"/>
          <w:szCs w:val="20"/>
        </w:rPr>
        <w:t xml:space="preserve">Spieleabend </w:t>
      </w:r>
      <w:r w:rsidRPr="00333A44">
        <w:rPr>
          <w:b/>
          <w:bCs/>
          <w:sz w:val="20"/>
          <w:szCs w:val="20"/>
        </w:rPr>
        <w:t xml:space="preserve">am </w:t>
      </w:r>
      <w:r w:rsidRPr="00333A44">
        <w:rPr>
          <w:b/>
          <w:bCs/>
          <w:sz w:val="20"/>
          <w:szCs w:val="20"/>
        </w:rPr>
        <w:t>23. August</w:t>
      </w:r>
      <w:r w:rsidRPr="00333A44">
        <w:rPr>
          <w:b/>
          <w:bCs/>
          <w:sz w:val="20"/>
          <w:szCs w:val="20"/>
        </w:rPr>
        <w:t xml:space="preserve"> 2019:</w:t>
      </w:r>
    </w:p>
    <w:p w:rsidR="00531F8A" w:rsidRDefault="00531F8A" w:rsidP="00531F8A">
      <w:pPr>
        <w:rPr>
          <w:sz w:val="20"/>
          <w:szCs w:val="20"/>
        </w:rPr>
      </w:pPr>
    </w:p>
    <w:p w:rsidR="00531F8A" w:rsidRDefault="00531F8A" w:rsidP="00531F8A">
      <w:pPr>
        <w:rPr>
          <w:sz w:val="20"/>
          <w:szCs w:val="20"/>
        </w:rPr>
      </w:pPr>
      <w:r>
        <w:rPr>
          <w:sz w:val="20"/>
          <w:szCs w:val="20"/>
        </w:rPr>
        <w:t xml:space="preserve">Hiermit beschließt der </w:t>
      </w:r>
      <w:proofErr w:type="spellStart"/>
      <w:r>
        <w:rPr>
          <w:sz w:val="20"/>
          <w:szCs w:val="20"/>
        </w:rPr>
        <w:t>Fachschaftsrat</w:t>
      </w:r>
      <w:proofErr w:type="spellEnd"/>
      <w:r>
        <w:rPr>
          <w:sz w:val="20"/>
          <w:szCs w:val="20"/>
        </w:rPr>
        <w:t xml:space="preserve"> </w:t>
      </w:r>
      <w:r w:rsidR="00674B32" w:rsidRPr="00674B32">
        <w:rPr>
          <w:sz w:val="20"/>
          <w:szCs w:val="20"/>
          <w:u w:val="single"/>
        </w:rPr>
        <w:t>einstimmig</w:t>
      </w:r>
      <w:r w:rsidR="00674B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für die Verpflegung des Spieleabends am 23. August </w:t>
      </w:r>
      <w:proofErr w:type="gramStart"/>
      <w:r>
        <w:rPr>
          <w:sz w:val="20"/>
          <w:szCs w:val="20"/>
        </w:rPr>
        <w:t>ein maximal Budget</w:t>
      </w:r>
      <w:proofErr w:type="gramEnd"/>
      <w:r>
        <w:rPr>
          <w:sz w:val="20"/>
          <w:szCs w:val="20"/>
        </w:rPr>
        <w:t xml:space="preserve"> von 20€ auszugeben, welches </w:t>
      </w:r>
      <w:r w:rsidR="0055684D">
        <w:rPr>
          <w:sz w:val="20"/>
          <w:szCs w:val="20"/>
        </w:rPr>
        <w:t xml:space="preserve">aus dem Haushaltsposten </w:t>
      </w:r>
      <w:r w:rsidR="0055684D" w:rsidRPr="00674B32">
        <w:rPr>
          <w:sz w:val="20"/>
          <w:szCs w:val="20"/>
          <w:u w:val="single"/>
        </w:rPr>
        <w:t>740.0221: Veranstaltungen kultureller Art</w:t>
      </w:r>
      <w:r w:rsidR="0055684D">
        <w:rPr>
          <w:sz w:val="20"/>
          <w:szCs w:val="20"/>
        </w:rPr>
        <w:t xml:space="preserve"> genommen werden soll. Die Verpflegung soll dazu dienen, dass die Fachschaft dazu beitragen kann, dass sich die Studenten in ausgelassener Stimmung kulturell vernetzen können.</w:t>
      </w:r>
    </w:p>
    <w:p w:rsidR="00A20F5B" w:rsidRDefault="00A20F5B" w:rsidP="00531F8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20F5B" w:rsidTr="00A20F5B">
        <w:tc>
          <w:tcPr>
            <w:tcW w:w="4528" w:type="dxa"/>
          </w:tcPr>
          <w:p w:rsidR="00A20F5B" w:rsidRPr="00A20F5B" w:rsidRDefault="00A20F5B" w:rsidP="00531F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20F5B">
              <w:rPr>
                <w:rFonts w:asciiTheme="majorHAnsi" w:hAnsiTheme="majorHAnsi" w:cstheme="majorHAnsi"/>
                <w:sz w:val="16"/>
                <w:szCs w:val="16"/>
              </w:rPr>
              <w:t>Dafür</w:t>
            </w:r>
          </w:p>
        </w:tc>
        <w:tc>
          <w:tcPr>
            <w:tcW w:w="4528" w:type="dxa"/>
          </w:tcPr>
          <w:p w:rsidR="00A20F5B" w:rsidRDefault="00A20F5B" w:rsidP="00A20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0F5B" w:rsidTr="00A20F5B">
        <w:tc>
          <w:tcPr>
            <w:tcW w:w="4528" w:type="dxa"/>
          </w:tcPr>
          <w:p w:rsidR="00A20F5B" w:rsidRPr="00A20F5B" w:rsidRDefault="00A20F5B" w:rsidP="00531F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20F5B">
              <w:rPr>
                <w:rFonts w:asciiTheme="majorHAnsi" w:hAnsiTheme="majorHAnsi" w:cstheme="majorHAnsi"/>
                <w:sz w:val="16"/>
                <w:szCs w:val="16"/>
              </w:rPr>
              <w:t>Dagegen</w:t>
            </w:r>
          </w:p>
        </w:tc>
        <w:tc>
          <w:tcPr>
            <w:tcW w:w="4528" w:type="dxa"/>
          </w:tcPr>
          <w:p w:rsidR="00A20F5B" w:rsidRDefault="00A20F5B" w:rsidP="00A20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0F5B" w:rsidTr="00A20F5B">
        <w:tc>
          <w:tcPr>
            <w:tcW w:w="4528" w:type="dxa"/>
          </w:tcPr>
          <w:p w:rsidR="00A20F5B" w:rsidRPr="00A20F5B" w:rsidRDefault="00A20F5B" w:rsidP="00531F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20F5B">
              <w:rPr>
                <w:rFonts w:asciiTheme="majorHAnsi" w:hAnsiTheme="majorHAnsi" w:cstheme="majorHAnsi"/>
                <w:sz w:val="16"/>
                <w:szCs w:val="16"/>
              </w:rPr>
              <w:t>Enthaltungen</w:t>
            </w:r>
          </w:p>
        </w:tc>
        <w:tc>
          <w:tcPr>
            <w:tcW w:w="4528" w:type="dxa"/>
          </w:tcPr>
          <w:p w:rsidR="00A20F5B" w:rsidRDefault="00A20F5B" w:rsidP="00A20F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20F5B" w:rsidRDefault="00A20F5B" w:rsidP="00531F8A">
      <w:pPr>
        <w:rPr>
          <w:i/>
          <w:iCs/>
          <w:sz w:val="18"/>
          <w:szCs w:val="18"/>
        </w:rPr>
      </w:pPr>
      <w:r w:rsidRPr="00A20F5B">
        <w:rPr>
          <w:i/>
          <w:iCs/>
          <w:sz w:val="18"/>
          <w:szCs w:val="18"/>
        </w:rPr>
        <w:t xml:space="preserve">Der </w:t>
      </w:r>
      <w:proofErr w:type="spellStart"/>
      <w:r w:rsidRPr="00A20F5B">
        <w:rPr>
          <w:i/>
          <w:iCs/>
          <w:sz w:val="18"/>
          <w:szCs w:val="18"/>
        </w:rPr>
        <w:t>Fachschaftsrat</w:t>
      </w:r>
      <w:proofErr w:type="spellEnd"/>
      <w:r w:rsidRPr="00A20F5B">
        <w:rPr>
          <w:i/>
          <w:iCs/>
          <w:sz w:val="18"/>
          <w:szCs w:val="18"/>
        </w:rPr>
        <w:t xml:space="preserve"> beschließt hiermit einstimmig ein Budget von max. 20€ für den Spieleabend.</w:t>
      </w:r>
    </w:p>
    <w:p w:rsidR="00A20F5B" w:rsidRPr="00A20F5B" w:rsidRDefault="00A20F5B" w:rsidP="00531F8A">
      <w:pPr>
        <w:rPr>
          <w:i/>
          <w:iCs/>
          <w:sz w:val="18"/>
          <w:szCs w:val="18"/>
        </w:rPr>
      </w:pPr>
    </w:p>
    <w:p w:rsidR="0055684D" w:rsidRDefault="0055684D" w:rsidP="00531F8A">
      <w:pPr>
        <w:rPr>
          <w:sz w:val="20"/>
          <w:szCs w:val="20"/>
        </w:rPr>
      </w:pPr>
    </w:p>
    <w:p w:rsidR="0055684D" w:rsidRDefault="0055684D" w:rsidP="00333A4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333A44">
        <w:rPr>
          <w:b/>
          <w:bCs/>
          <w:sz w:val="20"/>
          <w:szCs w:val="20"/>
        </w:rPr>
        <w:t>Finanzantrag für die Verpflegung fü</w:t>
      </w:r>
      <w:r w:rsidRPr="00333A44">
        <w:rPr>
          <w:b/>
          <w:bCs/>
          <w:sz w:val="20"/>
          <w:szCs w:val="20"/>
        </w:rPr>
        <w:t xml:space="preserve">r die </w:t>
      </w:r>
      <w:proofErr w:type="spellStart"/>
      <w:r w:rsidRPr="00333A44">
        <w:rPr>
          <w:b/>
          <w:bCs/>
          <w:sz w:val="20"/>
          <w:szCs w:val="20"/>
        </w:rPr>
        <w:t>Ersti</w:t>
      </w:r>
      <w:proofErr w:type="spellEnd"/>
      <w:r w:rsidR="00674B32" w:rsidRPr="00333A44">
        <w:rPr>
          <w:b/>
          <w:bCs/>
          <w:sz w:val="20"/>
          <w:szCs w:val="20"/>
        </w:rPr>
        <w:t>-Einführung im WiSe19/20</w:t>
      </w:r>
      <w:r w:rsidRPr="00333A44">
        <w:rPr>
          <w:b/>
          <w:bCs/>
          <w:sz w:val="20"/>
          <w:szCs w:val="20"/>
        </w:rPr>
        <w:t>:</w:t>
      </w:r>
    </w:p>
    <w:p w:rsidR="00333A44" w:rsidRPr="00333A44" w:rsidRDefault="00333A44" w:rsidP="00333A44">
      <w:pPr>
        <w:pStyle w:val="ListParagraph"/>
        <w:rPr>
          <w:b/>
          <w:bCs/>
          <w:sz w:val="20"/>
          <w:szCs w:val="20"/>
        </w:rPr>
      </w:pPr>
      <w:bookmarkStart w:id="0" w:name="_GoBack"/>
      <w:bookmarkEnd w:id="0"/>
    </w:p>
    <w:p w:rsidR="00674B32" w:rsidRDefault="00674B32" w:rsidP="0055684D">
      <w:pPr>
        <w:rPr>
          <w:sz w:val="20"/>
          <w:szCs w:val="20"/>
        </w:rPr>
      </w:pPr>
      <w:r>
        <w:rPr>
          <w:sz w:val="20"/>
          <w:szCs w:val="20"/>
        </w:rPr>
        <w:t xml:space="preserve">Hiermit beschließt der </w:t>
      </w:r>
      <w:proofErr w:type="spellStart"/>
      <w:r>
        <w:rPr>
          <w:sz w:val="20"/>
          <w:szCs w:val="20"/>
        </w:rPr>
        <w:t>Fachschaftsrat</w:t>
      </w:r>
      <w:proofErr w:type="spellEnd"/>
      <w:r>
        <w:rPr>
          <w:sz w:val="20"/>
          <w:szCs w:val="20"/>
        </w:rPr>
        <w:t xml:space="preserve"> </w:t>
      </w:r>
      <w:r w:rsidRPr="00674B32">
        <w:rPr>
          <w:sz w:val="20"/>
          <w:szCs w:val="20"/>
          <w:u w:val="single"/>
        </w:rPr>
        <w:t>einstimmig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für die Verpflegung des Spieleabends am 23. August </w:t>
      </w:r>
      <w:proofErr w:type="gramStart"/>
      <w:r>
        <w:rPr>
          <w:sz w:val="20"/>
          <w:szCs w:val="20"/>
        </w:rPr>
        <w:t>ein maximal Budget</w:t>
      </w:r>
      <w:proofErr w:type="gramEnd"/>
      <w:r>
        <w:rPr>
          <w:sz w:val="20"/>
          <w:szCs w:val="20"/>
        </w:rPr>
        <w:t xml:space="preserve"> von </w:t>
      </w:r>
      <w:r>
        <w:rPr>
          <w:sz w:val="20"/>
          <w:szCs w:val="20"/>
        </w:rPr>
        <w:t>15</w:t>
      </w:r>
      <w:r>
        <w:rPr>
          <w:sz w:val="20"/>
          <w:szCs w:val="20"/>
        </w:rPr>
        <w:t xml:space="preserve">€ auszugeben, welches aus dem Haushaltsposten </w:t>
      </w:r>
      <w:r w:rsidRPr="00674B32">
        <w:rPr>
          <w:sz w:val="20"/>
          <w:szCs w:val="20"/>
          <w:u w:val="single"/>
        </w:rPr>
        <w:t>7</w:t>
      </w:r>
      <w:r w:rsidRPr="00674B32">
        <w:rPr>
          <w:sz w:val="20"/>
          <w:szCs w:val="20"/>
          <w:u w:val="single"/>
        </w:rPr>
        <w:t>21</w:t>
      </w:r>
      <w:r w:rsidRPr="00674B32">
        <w:rPr>
          <w:sz w:val="20"/>
          <w:szCs w:val="20"/>
          <w:u w:val="single"/>
        </w:rPr>
        <w:t>.0221:</w:t>
      </w:r>
      <w:r w:rsidRPr="00674B32">
        <w:rPr>
          <w:sz w:val="20"/>
          <w:szCs w:val="20"/>
          <w:u w:val="single"/>
        </w:rPr>
        <w:t xml:space="preserve"> Orientierungsveranstaltungen und dergleichen</w:t>
      </w:r>
      <w:r>
        <w:rPr>
          <w:sz w:val="20"/>
          <w:szCs w:val="20"/>
        </w:rPr>
        <w:t xml:space="preserve"> genommen werden sollen. Bei der Veranstaltung handelt es sich um eine Einführung seitens der Fachschaft, welche dazu dienen </w:t>
      </w:r>
      <w:proofErr w:type="gramStart"/>
      <w:r>
        <w:rPr>
          <w:sz w:val="20"/>
          <w:szCs w:val="20"/>
        </w:rPr>
        <w:t>soll</w:t>
      </w:r>
      <w:proofErr w:type="gramEnd"/>
      <w:r>
        <w:rPr>
          <w:sz w:val="20"/>
          <w:szCs w:val="20"/>
        </w:rPr>
        <w:t xml:space="preserve"> den neuen Studierenden sich schon mal mit dem Institut und ihren zukünftigen Kommilitonen vertraut zu machen. Dabei werden inhaltliche Themen wie die Erstellung eines Stundenplans, die Nutzung des Modulhandbuchs </w:t>
      </w:r>
      <w:proofErr w:type="spellStart"/>
      <w:r>
        <w:rPr>
          <w:sz w:val="20"/>
          <w:szCs w:val="20"/>
        </w:rPr>
        <w:t>u.ä.</w:t>
      </w:r>
      <w:proofErr w:type="spellEnd"/>
      <w:r>
        <w:rPr>
          <w:sz w:val="20"/>
          <w:szCs w:val="20"/>
        </w:rPr>
        <w:t xml:space="preserve"> vermittelt, jedoch finden aber auch diverse </w:t>
      </w:r>
      <w:proofErr w:type="spellStart"/>
      <w:r>
        <w:rPr>
          <w:sz w:val="20"/>
          <w:szCs w:val="20"/>
        </w:rPr>
        <w:t>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Breaker</w:t>
      </w:r>
      <w:proofErr w:type="spellEnd"/>
      <w:r w:rsidR="00A20F5B">
        <w:rPr>
          <w:sz w:val="20"/>
          <w:szCs w:val="20"/>
        </w:rPr>
        <w:t xml:space="preserve"> statt. Da die Einführung ca. 90-120min gehen wird, wird die Fachschaft eine Verpflegung in Form von Snacks und Getränken zur Verfügung stellen. Die Einführung wird in der Woche vor Semesterbeginn stattfinden.</w:t>
      </w:r>
    </w:p>
    <w:p w:rsidR="0055684D" w:rsidRPr="00531F8A" w:rsidRDefault="0055684D" w:rsidP="00531F8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20F5B" w:rsidTr="000B265D">
        <w:tc>
          <w:tcPr>
            <w:tcW w:w="4528" w:type="dxa"/>
          </w:tcPr>
          <w:p w:rsidR="00A20F5B" w:rsidRPr="00A20F5B" w:rsidRDefault="00A20F5B" w:rsidP="000B265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20F5B">
              <w:rPr>
                <w:rFonts w:asciiTheme="majorHAnsi" w:hAnsiTheme="majorHAnsi" w:cstheme="majorHAnsi"/>
                <w:sz w:val="16"/>
                <w:szCs w:val="16"/>
              </w:rPr>
              <w:t>Dafür</w:t>
            </w:r>
          </w:p>
        </w:tc>
        <w:tc>
          <w:tcPr>
            <w:tcW w:w="4528" w:type="dxa"/>
          </w:tcPr>
          <w:p w:rsidR="00A20F5B" w:rsidRDefault="00A20F5B" w:rsidP="000B26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0F5B" w:rsidTr="000B265D">
        <w:tc>
          <w:tcPr>
            <w:tcW w:w="4528" w:type="dxa"/>
          </w:tcPr>
          <w:p w:rsidR="00A20F5B" w:rsidRPr="00A20F5B" w:rsidRDefault="00A20F5B" w:rsidP="000B265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20F5B">
              <w:rPr>
                <w:rFonts w:asciiTheme="majorHAnsi" w:hAnsiTheme="majorHAnsi" w:cstheme="majorHAnsi"/>
                <w:sz w:val="16"/>
                <w:szCs w:val="16"/>
              </w:rPr>
              <w:t>Dagegen</w:t>
            </w:r>
          </w:p>
        </w:tc>
        <w:tc>
          <w:tcPr>
            <w:tcW w:w="4528" w:type="dxa"/>
          </w:tcPr>
          <w:p w:rsidR="00A20F5B" w:rsidRDefault="00A20F5B" w:rsidP="000B26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0F5B" w:rsidTr="000B265D">
        <w:tc>
          <w:tcPr>
            <w:tcW w:w="4528" w:type="dxa"/>
          </w:tcPr>
          <w:p w:rsidR="00A20F5B" w:rsidRPr="00A20F5B" w:rsidRDefault="00A20F5B" w:rsidP="000B265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20F5B">
              <w:rPr>
                <w:rFonts w:asciiTheme="majorHAnsi" w:hAnsiTheme="majorHAnsi" w:cstheme="majorHAnsi"/>
                <w:sz w:val="16"/>
                <w:szCs w:val="16"/>
              </w:rPr>
              <w:t>Enthaltungen</w:t>
            </w:r>
          </w:p>
        </w:tc>
        <w:tc>
          <w:tcPr>
            <w:tcW w:w="4528" w:type="dxa"/>
          </w:tcPr>
          <w:p w:rsidR="00A20F5B" w:rsidRDefault="00A20F5B" w:rsidP="000B26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20F5B" w:rsidRPr="00A20F5B" w:rsidRDefault="00A20F5B" w:rsidP="00A20F5B">
      <w:pPr>
        <w:rPr>
          <w:i/>
          <w:iCs/>
          <w:sz w:val="18"/>
          <w:szCs w:val="18"/>
        </w:rPr>
      </w:pPr>
      <w:r w:rsidRPr="00A20F5B">
        <w:rPr>
          <w:i/>
          <w:iCs/>
          <w:sz w:val="18"/>
          <w:szCs w:val="18"/>
        </w:rPr>
        <w:t xml:space="preserve">Der </w:t>
      </w:r>
      <w:proofErr w:type="spellStart"/>
      <w:r w:rsidRPr="00A20F5B">
        <w:rPr>
          <w:i/>
          <w:iCs/>
          <w:sz w:val="18"/>
          <w:szCs w:val="18"/>
        </w:rPr>
        <w:t>Fachschaftsrat</w:t>
      </w:r>
      <w:proofErr w:type="spellEnd"/>
      <w:r w:rsidRPr="00A20F5B">
        <w:rPr>
          <w:i/>
          <w:iCs/>
          <w:sz w:val="18"/>
          <w:szCs w:val="18"/>
        </w:rPr>
        <w:t xml:space="preserve"> beschließt hiermit einstimmig ein Budget von max. </w:t>
      </w:r>
      <w:r>
        <w:rPr>
          <w:i/>
          <w:iCs/>
          <w:sz w:val="18"/>
          <w:szCs w:val="18"/>
        </w:rPr>
        <w:t>15</w:t>
      </w:r>
      <w:r w:rsidRPr="00A20F5B">
        <w:rPr>
          <w:i/>
          <w:iCs/>
          <w:sz w:val="18"/>
          <w:szCs w:val="18"/>
        </w:rPr>
        <w:t xml:space="preserve">€ für </w:t>
      </w:r>
      <w:r>
        <w:rPr>
          <w:i/>
          <w:iCs/>
          <w:sz w:val="18"/>
          <w:szCs w:val="18"/>
        </w:rPr>
        <w:t xml:space="preserve">die </w:t>
      </w:r>
      <w:proofErr w:type="spellStart"/>
      <w:r>
        <w:rPr>
          <w:i/>
          <w:iCs/>
          <w:sz w:val="18"/>
          <w:szCs w:val="18"/>
        </w:rPr>
        <w:t>Ersti</w:t>
      </w:r>
      <w:proofErr w:type="spellEnd"/>
      <w:r>
        <w:rPr>
          <w:i/>
          <w:iCs/>
          <w:sz w:val="18"/>
          <w:szCs w:val="18"/>
        </w:rPr>
        <w:t>-Einführung</w:t>
      </w:r>
      <w:r w:rsidRPr="00A20F5B">
        <w:rPr>
          <w:i/>
          <w:iCs/>
          <w:sz w:val="18"/>
          <w:szCs w:val="18"/>
        </w:rPr>
        <w:t>.</w:t>
      </w:r>
    </w:p>
    <w:p w:rsidR="00E07931" w:rsidRDefault="00E07931" w:rsidP="00531F8A">
      <w:pPr>
        <w:rPr>
          <w:sz w:val="20"/>
          <w:szCs w:val="20"/>
        </w:rPr>
      </w:pPr>
    </w:p>
    <w:p w:rsidR="00E07931" w:rsidRPr="00531F8A" w:rsidRDefault="00E07931" w:rsidP="00531F8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74678" cy="1569308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en FS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073" cy="158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931" w:rsidRPr="00531F8A" w:rsidSect="004F44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3AA8"/>
    <w:multiLevelType w:val="hybridMultilevel"/>
    <w:tmpl w:val="DC0415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7CBA"/>
    <w:multiLevelType w:val="hybridMultilevel"/>
    <w:tmpl w:val="07E68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53AB"/>
    <w:multiLevelType w:val="hybridMultilevel"/>
    <w:tmpl w:val="51D83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8A"/>
    <w:rsid w:val="00333A44"/>
    <w:rsid w:val="004F44F3"/>
    <w:rsid w:val="00531F8A"/>
    <w:rsid w:val="0055684D"/>
    <w:rsid w:val="00674B32"/>
    <w:rsid w:val="008177B6"/>
    <w:rsid w:val="009A3F63"/>
    <w:rsid w:val="00A20F5B"/>
    <w:rsid w:val="00E0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E9773B"/>
  <w15:chartTrackingRefBased/>
  <w15:docId w15:val="{017EEBCC-250F-D940-A38C-CCD4848C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8A"/>
    <w:pPr>
      <w:ind w:left="720"/>
      <w:contextualSpacing/>
    </w:pPr>
  </w:style>
  <w:style w:type="table" w:styleId="TableGrid">
    <w:name w:val="Table Grid"/>
    <w:basedOn w:val="TableNormal"/>
    <w:uiPriority w:val="39"/>
    <w:rsid w:val="00A2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 Pham</dc:creator>
  <cp:keywords/>
  <dc:description/>
  <cp:lastModifiedBy>Take Pham</cp:lastModifiedBy>
  <cp:revision>1</cp:revision>
  <dcterms:created xsi:type="dcterms:W3CDTF">2019-08-24T14:46:00Z</dcterms:created>
  <dcterms:modified xsi:type="dcterms:W3CDTF">2019-08-24T16:07:00Z</dcterms:modified>
</cp:coreProperties>
</file>